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824" w:rsidRDefault="0023298C" w:rsidP="00A20489">
      <w:pPr>
        <w:jc w:val="right"/>
        <w:rPr>
          <w:rFonts w:ascii="Trebuchet MS" w:hAnsi="Trebuchet MS"/>
          <w:b/>
        </w:rPr>
      </w:pPr>
      <w:r w:rsidRPr="005B5C7F">
        <w:rPr>
          <w:rFonts w:ascii="Trebuchet MS" w:hAnsi="Trebuchet MS"/>
          <w:b/>
        </w:rPr>
        <w:t>Anex</w:t>
      </w:r>
      <w:r w:rsidR="00884324" w:rsidRPr="005B5C7F">
        <w:rPr>
          <w:rFonts w:ascii="Trebuchet MS" w:hAnsi="Trebuchet MS"/>
          <w:b/>
        </w:rPr>
        <w:t xml:space="preserve">a </w:t>
      </w:r>
      <w:r w:rsidR="00CC3FE9" w:rsidRPr="005B5C7F">
        <w:rPr>
          <w:rFonts w:ascii="Trebuchet MS" w:hAnsi="Trebuchet MS"/>
          <w:b/>
        </w:rPr>
        <w:t>1</w:t>
      </w:r>
      <w:r w:rsidR="004371A5" w:rsidRPr="005B5C7F">
        <w:rPr>
          <w:rFonts w:ascii="Trebuchet MS" w:hAnsi="Trebuchet MS"/>
          <w:b/>
        </w:rPr>
        <w:t>:</w:t>
      </w:r>
      <w:r w:rsidR="00046A51" w:rsidRPr="005B5C7F">
        <w:rPr>
          <w:rFonts w:ascii="Trebuchet MS" w:hAnsi="Trebuchet MS"/>
          <w:b/>
        </w:rPr>
        <w:t xml:space="preserve"> </w:t>
      </w:r>
      <w:r w:rsidR="004371A5" w:rsidRPr="005B5C7F">
        <w:rPr>
          <w:rFonts w:ascii="Trebuchet MS" w:hAnsi="Trebuchet MS"/>
          <w:b/>
        </w:rPr>
        <w:t xml:space="preserve">Definițiile indicatorilor </w:t>
      </w:r>
      <w:r w:rsidR="008968B2" w:rsidRPr="005B5C7F">
        <w:rPr>
          <w:rFonts w:ascii="Trebuchet MS" w:hAnsi="Trebuchet MS"/>
          <w:b/>
        </w:rPr>
        <w:t xml:space="preserve">specifici </w:t>
      </w:r>
      <w:r w:rsidR="004371A5" w:rsidRPr="005B5C7F">
        <w:rPr>
          <w:rFonts w:ascii="Trebuchet MS" w:hAnsi="Trebuchet MS"/>
          <w:b/>
        </w:rPr>
        <w:t xml:space="preserve">de rezultat </w:t>
      </w:r>
      <w:r w:rsidR="0069217C" w:rsidRPr="005B5C7F">
        <w:rPr>
          <w:rFonts w:ascii="Trebuchet MS" w:hAnsi="Trebuchet MS"/>
          <w:b/>
        </w:rPr>
        <w:t xml:space="preserve">imediat </w:t>
      </w:r>
      <w:r w:rsidR="004371A5" w:rsidRPr="005B5C7F">
        <w:rPr>
          <w:rFonts w:ascii="Trebuchet MS" w:hAnsi="Trebuchet MS"/>
          <w:b/>
        </w:rPr>
        <w:t>și realizare</w:t>
      </w:r>
      <w:r w:rsidR="004A3D0F" w:rsidRPr="005B5C7F">
        <w:rPr>
          <w:rFonts w:ascii="Trebuchet MS" w:hAnsi="Trebuchet MS"/>
          <w:b/>
        </w:rPr>
        <w:t xml:space="preserve"> </w:t>
      </w:r>
    </w:p>
    <w:p w:rsidR="004D2F96" w:rsidRDefault="004D2F96" w:rsidP="00A20489">
      <w:pPr>
        <w:jc w:val="right"/>
        <w:rPr>
          <w:rFonts w:ascii="Trebuchet MS" w:hAnsi="Trebuchet MS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9"/>
        <w:gridCol w:w="2941"/>
        <w:gridCol w:w="3666"/>
        <w:gridCol w:w="6524"/>
      </w:tblGrid>
      <w:tr w:rsidR="004D2F96" w:rsidRPr="00EA07AA" w:rsidTr="00A661DC">
        <w:trPr>
          <w:tblHeader/>
        </w:trPr>
        <w:tc>
          <w:tcPr>
            <w:tcW w:w="383" w:type="pct"/>
            <w:shd w:val="clear" w:color="auto" w:fill="DDD9C3"/>
            <w:vAlign w:val="center"/>
          </w:tcPr>
          <w:p w:rsidR="004D2F96" w:rsidRPr="00EA07AA" w:rsidRDefault="004D2F96" w:rsidP="00A661DC">
            <w:pPr>
              <w:spacing w:after="0" w:line="240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EA07AA">
              <w:rPr>
                <w:rFonts w:ascii="Trebuchet MS" w:hAnsi="Trebuchet MS"/>
                <w:b/>
                <w:color w:val="000000"/>
              </w:rPr>
              <w:t>COD</w:t>
            </w:r>
          </w:p>
        </w:tc>
        <w:tc>
          <w:tcPr>
            <w:tcW w:w="1034" w:type="pct"/>
            <w:shd w:val="clear" w:color="auto" w:fill="DDD9C3"/>
            <w:vAlign w:val="center"/>
          </w:tcPr>
          <w:p w:rsidR="004D2F96" w:rsidRPr="00EA07AA" w:rsidRDefault="004D2F96" w:rsidP="00A661DC">
            <w:pPr>
              <w:spacing w:after="0" w:line="240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EA07AA">
              <w:rPr>
                <w:rFonts w:ascii="Trebuchet MS" w:hAnsi="Trebuchet MS"/>
                <w:b/>
                <w:color w:val="000000"/>
              </w:rPr>
              <w:t>Tip de indicator (de Realizare Imediată/</w:t>
            </w:r>
          </w:p>
          <w:p w:rsidR="004D2F96" w:rsidRPr="00EA07AA" w:rsidRDefault="004D2F96" w:rsidP="00A661DC">
            <w:pPr>
              <w:spacing w:after="0" w:line="240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EA07AA">
              <w:rPr>
                <w:rFonts w:ascii="Trebuchet MS" w:hAnsi="Trebuchet MS"/>
                <w:b/>
                <w:color w:val="000000"/>
              </w:rPr>
              <w:t xml:space="preserve">de Rezultat </w:t>
            </w:r>
            <w:proofErr w:type="spellStart"/>
            <w:r w:rsidRPr="00EA07AA">
              <w:rPr>
                <w:rFonts w:ascii="Trebuchet MS" w:hAnsi="Trebuchet MS"/>
                <w:b/>
                <w:color w:val="000000"/>
              </w:rPr>
              <w:t>şi</w:t>
            </w:r>
            <w:proofErr w:type="spellEnd"/>
            <w:r w:rsidRPr="00EA07AA">
              <w:rPr>
                <w:rFonts w:ascii="Trebuchet MS" w:hAnsi="Trebuchet MS"/>
                <w:b/>
                <w:color w:val="000000"/>
              </w:rPr>
              <w:t xml:space="preserve"> Specific/</w:t>
            </w:r>
          </w:p>
          <w:p w:rsidR="004D2F96" w:rsidRPr="00EA07AA" w:rsidRDefault="004D2F96" w:rsidP="00A661DC">
            <w:pPr>
              <w:spacing w:after="0" w:line="240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EA07AA">
              <w:rPr>
                <w:rFonts w:ascii="Trebuchet MS" w:hAnsi="Trebuchet MS"/>
                <w:b/>
                <w:color w:val="000000"/>
              </w:rPr>
              <w:t>Comun)</w:t>
            </w:r>
          </w:p>
        </w:tc>
        <w:tc>
          <w:tcPr>
            <w:tcW w:w="1289" w:type="pct"/>
            <w:shd w:val="clear" w:color="auto" w:fill="DDD9C3"/>
            <w:vAlign w:val="center"/>
          </w:tcPr>
          <w:p w:rsidR="004D2F96" w:rsidRPr="00EA07AA" w:rsidRDefault="004D2F96" w:rsidP="00A661DC">
            <w:pPr>
              <w:spacing w:after="0" w:line="240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EA07AA">
              <w:rPr>
                <w:rFonts w:ascii="Trebuchet MS" w:hAnsi="Trebuchet MS"/>
                <w:b/>
                <w:color w:val="000000"/>
              </w:rPr>
              <w:t>Denumire Indicator</w:t>
            </w:r>
          </w:p>
        </w:tc>
        <w:tc>
          <w:tcPr>
            <w:tcW w:w="2294" w:type="pct"/>
            <w:shd w:val="clear" w:color="auto" w:fill="DDD9C3"/>
            <w:vAlign w:val="center"/>
          </w:tcPr>
          <w:p w:rsidR="004D2F96" w:rsidRPr="00EA07AA" w:rsidRDefault="004D2F96" w:rsidP="00A661DC">
            <w:pPr>
              <w:spacing w:after="0" w:line="240" w:lineRule="auto"/>
              <w:jc w:val="center"/>
              <w:rPr>
                <w:rFonts w:ascii="Trebuchet MS" w:hAnsi="Trebuchet MS"/>
                <w:b/>
                <w:color w:val="000000"/>
              </w:rPr>
            </w:pPr>
            <w:proofErr w:type="spellStart"/>
            <w:r w:rsidRPr="00EA07AA">
              <w:rPr>
                <w:rFonts w:ascii="Trebuchet MS" w:hAnsi="Trebuchet MS"/>
                <w:b/>
                <w:color w:val="000000"/>
              </w:rPr>
              <w:t>Definiţia</w:t>
            </w:r>
            <w:proofErr w:type="spellEnd"/>
            <w:r w:rsidRPr="00EA07AA">
              <w:rPr>
                <w:rFonts w:ascii="Trebuchet MS" w:hAnsi="Trebuchet MS"/>
                <w:b/>
                <w:color w:val="000000"/>
              </w:rPr>
              <w:t xml:space="preserve"> indicatorului</w:t>
            </w:r>
          </w:p>
        </w:tc>
      </w:tr>
      <w:tr w:rsidR="004D2F96" w:rsidRPr="00EA07AA" w:rsidTr="007C5089">
        <w:tc>
          <w:tcPr>
            <w:tcW w:w="383" w:type="pct"/>
            <w:shd w:val="clear" w:color="auto" w:fill="auto"/>
          </w:tcPr>
          <w:p w:rsidR="004D2F96" w:rsidRPr="00EA07AA" w:rsidRDefault="007C5089" w:rsidP="00A66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5"/>
              <w:jc w:val="highKashida"/>
              <w:rPr>
                <w:rFonts w:ascii="Trebuchet MS" w:hAnsi="Trebuchet MS"/>
                <w:b/>
                <w:color w:val="000000"/>
              </w:rPr>
            </w:pPr>
            <w:r w:rsidRPr="00437F2A">
              <w:rPr>
                <w:rFonts w:ascii="Trebuchet MS" w:eastAsia="Calibri" w:hAnsi="Trebuchet MS" w:cs="Times New Roman"/>
              </w:rPr>
              <w:t>4S12</w:t>
            </w:r>
          </w:p>
        </w:tc>
        <w:tc>
          <w:tcPr>
            <w:tcW w:w="1034" w:type="pct"/>
            <w:shd w:val="clear" w:color="auto" w:fill="auto"/>
          </w:tcPr>
          <w:p w:rsidR="004D2F96" w:rsidRPr="00EA07AA" w:rsidRDefault="007C5089" w:rsidP="00A661DC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437F2A">
              <w:rPr>
                <w:rFonts w:ascii="Trebuchet MS" w:eastAsia="Calibri" w:hAnsi="Trebuchet MS"/>
                <w:b/>
              </w:rPr>
              <w:t>Indicatori de realizare</w:t>
            </w:r>
          </w:p>
        </w:tc>
        <w:tc>
          <w:tcPr>
            <w:tcW w:w="1289" w:type="pct"/>
          </w:tcPr>
          <w:p w:rsidR="007C5089" w:rsidRPr="00437F2A" w:rsidRDefault="007C5089" w:rsidP="007C508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rebuchet MS" w:hAnsi="Trebuchet MS"/>
              </w:rPr>
            </w:pPr>
            <w:r w:rsidRPr="00437F2A">
              <w:rPr>
                <w:rFonts w:ascii="Trebuchet MS" w:hAnsi="Trebuchet MS" w:cs="TimesNewRomanPSMT"/>
              </w:rPr>
              <w:t>Microîntreprinderi și întreprinderi mici și mijlocii care beneficiază de sprijin</w:t>
            </w:r>
          </w:p>
          <w:p w:rsidR="004D2F96" w:rsidRPr="00EA07AA" w:rsidRDefault="004D2F96" w:rsidP="000B446E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2294" w:type="pct"/>
            <w:shd w:val="clear" w:color="auto" w:fill="auto"/>
          </w:tcPr>
          <w:p w:rsidR="008E1D00" w:rsidRPr="008E1D00" w:rsidRDefault="008E1D00" w:rsidP="008E1D00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8E1D00">
              <w:rPr>
                <w:rFonts w:ascii="Trebuchet MS" w:hAnsi="Trebuchet MS"/>
                <w:color w:val="000000"/>
              </w:rPr>
              <w:t xml:space="preserve">Acest indicator reprezintă numărul de întreprinderi care au fost sprijinite direct în cadrul operațiunilor finanțate în contextul Obiectivului Specific 3.7 și îndeplinesc cumulativ următoarele criterii la momentul la care entitatea a beneficiat prima dată de sprijinul oferit prin </w:t>
            </w:r>
            <w:proofErr w:type="spellStart"/>
            <w:r w:rsidRPr="008E1D00">
              <w:rPr>
                <w:rFonts w:ascii="Trebuchet MS" w:hAnsi="Trebuchet MS"/>
                <w:color w:val="000000"/>
              </w:rPr>
              <w:t>operaţiune</w:t>
            </w:r>
            <w:proofErr w:type="spellEnd"/>
            <w:r w:rsidRPr="008E1D00">
              <w:rPr>
                <w:rFonts w:ascii="Trebuchet MS" w:hAnsi="Trebuchet MS"/>
                <w:color w:val="000000"/>
              </w:rPr>
              <w:t>:</w:t>
            </w:r>
          </w:p>
          <w:p w:rsidR="008E1D00" w:rsidRPr="008E1D00" w:rsidRDefault="008E1D00" w:rsidP="008E1D00">
            <w:pPr>
              <w:spacing w:after="0" w:line="240" w:lineRule="auto"/>
              <w:ind w:left="360"/>
              <w:jc w:val="both"/>
              <w:rPr>
                <w:rFonts w:ascii="Trebuchet MS" w:hAnsi="Trebuchet MS"/>
                <w:color w:val="000000"/>
              </w:rPr>
            </w:pPr>
            <w:r w:rsidRPr="008E1D00">
              <w:rPr>
                <w:rFonts w:ascii="Trebuchet MS" w:hAnsi="Trebuchet MS"/>
                <w:color w:val="000000"/>
              </w:rPr>
              <w:t>- activează într-una din regiunile de dezvoltare eligibile (regiuni mai puțin dezvoltate)</w:t>
            </w:r>
          </w:p>
          <w:p w:rsid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  <w:color w:val="000000"/>
              </w:rPr>
            </w:pPr>
            <w:r w:rsidRPr="008E1D00">
              <w:rPr>
                <w:rFonts w:ascii="Trebuchet MS" w:hAnsi="Trebuchet MS"/>
                <w:color w:val="000000"/>
              </w:rPr>
              <w:t xml:space="preserve">- sunt microîntreprinderi sau întreprinderi mici </w:t>
            </w:r>
            <w:proofErr w:type="spellStart"/>
            <w:r w:rsidRPr="008E1D00">
              <w:rPr>
                <w:rFonts w:ascii="Trebuchet MS" w:hAnsi="Trebuchet MS"/>
                <w:color w:val="000000"/>
              </w:rPr>
              <w:t>şi</w:t>
            </w:r>
            <w:proofErr w:type="spellEnd"/>
            <w:r w:rsidRPr="008E1D00">
              <w:rPr>
                <w:rFonts w:ascii="Trebuchet MS" w:hAnsi="Trebuchet MS"/>
                <w:color w:val="000000"/>
              </w:rPr>
              <w:t xml:space="preserve"> mijlocii non-agricole din zonele urbane, cu un istoric de funcționare până la un an</w:t>
            </w:r>
          </w:p>
          <w:p w:rsid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  <w:color w:val="000000"/>
              </w:rPr>
            </w:pP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t>EXPLICAŢIILE TERMENILOR: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t xml:space="preserve">“Microîntreprinderi” sunt acele întreprinderi care au până la 9 </w:t>
            </w:r>
            <w:proofErr w:type="spellStart"/>
            <w:r w:rsidRPr="008E1D00">
              <w:rPr>
                <w:rFonts w:ascii="Trebuchet MS" w:hAnsi="Trebuchet MS"/>
              </w:rPr>
              <w:t>angajaţi</w:t>
            </w:r>
            <w:proofErr w:type="spellEnd"/>
            <w:r w:rsidRPr="008E1D00">
              <w:rPr>
                <w:rFonts w:ascii="Trebuchet MS" w:hAnsi="Trebuchet MS"/>
              </w:rPr>
              <w:t xml:space="preserve"> </w:t>
            </w:r>
            <w:proofErr w:type="spellStart"/>
            <w:r w:rsidRPr="008E1D00">
              <w:rPr>
                <w:rFonts w:ascii="Trebuchet MS" w:hAnsi="Trebuchet MS"/>
              </w:rPr>
              <w:t>şi</w:t>
            </w:r>
            <w:proofErr w:type="spellEnd"/>
            <w:r w:rsidRPr="008E1D00">
              <w:rPr>
                <w:rFonts w:ascii="Trebuchet MS" w:hAnsi="Trebuchet MS"/>
              </w:rPr>
              <w:t xml:space="preserve"> o cifră de afaceri anuală sau total active de maxim 2 milioane EUR, echivalent în lei.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t xml:space="preserve">Sursa: Legea nr. 346/2004 privind stimularea </w:t>
            </w:r>
            <w:proofErr w:type="spellStart"/>
            <w:r w:rsidRPr="008E1D00">
              <w:rPr>
                <w:rFonts w:ascii="Trebuchet MS" w:hAnsi="Trebuchet MS"/>
              </w:rPr>
              <w:t>înfiinţării</w:t>
            </w:r>
            <w:proofErr w:type="spellEnd"/>
            <w:r w:rsidRPr="008E1D00">
              <w:rPr>
                <w:rFonts w:ascii="Trebuchet MS" w:hAnsi="Trebuchet MS"/>
              </w:rPr>
              <w:t xml:space="preserve"> </w:t>
            </w:r>
            <w:proofErr w:type="spellStart"/>
            <w:r w:rsidRPr="008E1D00">
              <w:rPr>
                <w:rFonts w:ascii="Trebuchet MS" w:hAnsi="Trebuchet MS"/>
              </w:rPr>
              <w:t>şi</w:t>
            </w:r>
            <w:proofErr w:type="spellEnd"/>
            <w:r w:rsidRPr="008E1D00">
              <w:rPr>
                <w:rFonts w:ascii="Trebuchet MS" w:hAnsi="Trebuchet MS"/>
              </w:rPr>
              <w:t xml:space="preserve"> dezvoltării întreprinderilor mici </w:t>
            </w:r>
            <w:proofErr w:type="spellStart"/>
            <w:r w:rsidRPr="008E1D00">
              <w:rPr>
                <w:rFonts w:ascii="Trebuchet MS" w:hAnsi="Trebuchet MS"/>
              </w:rPr>
              <w:t>şi</w:t>
            </w:r>
            <w:proofErr w:type="spellEnd"/>
            <w:r w:rsidRPr="008E1D00">
              <w:rPr>
                <w:rFonts w:ascii="Trebuchet MS" w:hAnsi="Trebuchet MS"/>
              </w:rPr>
              <w:t xml:space="preserve"> mijlocii, Art. 4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t xml:space="preserve">„Întreprinderi mici </w:t>
            </w:r>
            <w:proofErr w:type="spellStart"/>
            <w:r w:rsidRPr="008E1D00">
              <w:rPr>
                <w:rFonts w:ascii="Trebuchet MS" w:hAnsi="Trebuchet MS"/>
              </w:rPr>
              <w:t>şi</w:t>
            </w:r>
            <w:proofErr w:type="spellEnd"/>
            <w:r w:rsidRPr="008E1D00">
              <w:rPr>
                <w:rFonts w:ascii="Trebuchet MS" w:hAnsi="Trebuchet MS"/>
              </w:rPr>
              <w:t xml:space="preserve"> mijlocii” sunt acele întreprinderi care îndeplinesc cumulativ următoarele condiții: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lastRenderedPageBreak/>
              <w:t xml:space="preserve">a) au un număr mediu anual de </w:t>
            </w:r>
            <w:proofErr w:type="spellStart"/>
            <w:r w:rsidRPr="008E1D00">
              <w:rPr>
                <w:rFonts w:ascii="Trebuchet MS" w:hAnsi="Trebuchet MS"/>
              </w:rPr>
              <w:t>salariaţi</w:t>
            </w:r>
            <w:proofErr w:type="spellEnd"/>
            <w:r w:rsidRPr="008E1D00">
              <w:rPr>
                <w:rFonts w:ascii="Trebuchet MS" w:hAnsi="Trebuchet MS"/>
              </w:rPr>
              <w:t xml:space="preserve"> mai mic de 250; 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t xml:space="preserve">b) realizează o cifră de afaceri anuală echivalentă cu până la 50 milioane de euro sau totalul activelor nu </w:t>
            </w:r>
            <w:proofErr w:type="spellStart"/>
            <w:r w:rsidRPr="008E1D00">
              <w:rPr>
                <w:rFonts w:ascii="Trebuchet MS" w:hAnsi="Trebuchet MS"/>
              </w:rPr>
              <w:t>depăşeşte</w:t>
            </w:r>
            <w:proofErr w:type="spellEnd"/>
            <w:r w:rsidRPr="008E1D00">
              <w:rPr>
                <w:rFonts w:ascii="Trebuchet MS" w:hAnsi="Trebuchet MS"/>
              </w:rPr>
              <w:t xml:space="preserve"> echivalentul în lei a 43 milioane de euro, în conformitate cu ultimele </w:t>
            </w:r>
            <w:proofErr w:type="spellStart"/>
            <w:r w:rsidRPr="008E1D00">
              <w:rPr>
                <w:rFonts w:ascii="Trebuchet MS" w:hAnsi="Trebuchet MS"/>
              </w:rPr>
              <w:t>situaţii</w:t>
            </w:r>
            <w:proofErr w:type="spellEnd"/>
            <w:r w:rsidRPr="008E1D00">
              <w:rPr>
                <w:rFonts w:ascii="Trebuchet MS" w:hAnsi="Trebuchet MS"/>
              </w:rPr>
              <w:t xml:space="preserve"> financiare aprobate. Total active înseamnă active plus active circulante plus cheltuieli în avans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t xml:space="preserve">Sursa: Legea nr. 346/2004 privind stimularea </w:t>
            </w:r>
            <w:proofErr w:type="spellStart"/>
            <w:r w:rsidRPr="008E1D00">
              <w:rPr>
                <w:rFonts w:ascii="Trebuchet MS" w:hAnsi="Trebuchet MS"/>
              </w:rPr>
              <w:t>înfiinţării</w:t>
            </w:r>
            <w:proofErr w:type="spellEnd"/>
            <w:r w:rsidRPr="008E1D00">
              <w:rPr>
                <w:rFonts w:ascii="Trebuchet MS" w:hAnsi="Trebuchet MS"/>
              </w:rPr>
              <w:t xml:space="preserve"> </w:t>
            </w:r>
            <w:proofErr w:type="spellStart"/>
            <w:r w:rsidRPr="008E1D00">
              <w:rPr>
                <w:rFonts w:ascii="Trebuchet MS" w:hAnsi="Trebuchet MS"/>
              </w:rPr>
              <w:t>şi</w:t>
            </w:r>
            <w:proofErr w:type="spellEnd"/>
            <w:r w:rsidRPr="008E1D00">
              <w:rPr>
                <w:rFonts w:ascii="Trebuchet MS" w:hAnsi="Trebuchet MS"/>
              </w:rPr>
              <w:t xml:space="preserve"> dezvoltării întreprinderilor mici </w:t>
            </w:r>
            <w:proofErr w:type="spellStart"/>
            <w:r w:rsidRPr="008E1D00">
              <w:rPr>
                <w:rFonts w:ascii="Trebuchet MS" w:hAnsi="Trebuchet MS"/>
              </w:rPr>
              <w:t>şi</w:t>
            </w:r>
            <w:proofErr w:type="spellEnd"/>
            <w:r w:rsidRPr="008E1D00">
              <w:rPr>
                <w:rFonts w:ascii="Trebuchet MS" w:hAnsi="Trebuchet MS"/>
              </w:rPr>
              <w:t xml:space="preserve"> mijlocii, Art. 4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t xml:space="preserve">“Zone urbane” sunt zone în care majoritatea </w:t>
            </w:r>
            <w:proofErr w:type="spellStart"/>
            <w:r w:rsidRPr="008E1D00">
              <w:rPr>
                <w:rFonts w:ascii="Trebuchet MS" w:hAnsi="Trebuchet MS"/>
              </w:rPr>
              <w:t>forţei</w:t>
            </w:r>
            <w:proofErr w:type="spellEnd"/>
            <w:r w:rsidRPr="008E1D00">
              <w:rPr>
                <w:rFonts w:ascii="Trebuchet MS" w:hAnsi="Trebuchet MS"/>
              </w:rPr>
              <w:t xml:space="preserve"> de muncă este ocupată în </w:t>
            </w:r>
            <w:proofErr w:type="spellStart"/>
            <w:r w:rsidRPr="008E1D00">
              <w:rPr>
                <w:rFonts w:ascii="Trebuchet MS" w:hAnsi="Trebuchet MS"/>
              </w:rPr>
              <w:t>activităţi</w:t>
            </w:r>
            <w:proofErr w:type="spellEnd"/>
            <w:r w:rsidRPr="008E1D00">
              <w:rPr>
                <w:rFonts w:ascii="Trebuchet MS" w:hAnsi="Trebuchet MS"/>
              </w:rPr>
              <w:t xml:space="preserve"> non-agricole cu un nivel diversificat de dotare și echipare, exercitând o </w:t>
            </w:r>
            <w:proofErr w:type="spellStart"/>
            <w:r w:rsidRPr="008E1D00">
              <w:rPr>
                <w:rFonts w:ascii="Trebuchet MS" w:hAnsi="Trebuchet MS"/>
              </w:rPr>
              <w:t>influenţă</w:t>
            </w:r>
            <w:proofErr w:type="spellEnd"/>
            <w:r w:rsidRPr="008E1D00">
              <w:rPr>
                <w:rFonts w:ascii="Trebuchet MS" w:hAnsi="Trebuchet MS"/>
              </w:rPr>
              <w:t xml:space="preserve"> </w:t>
            </w:r>
            <w:proofErr w:type="spellStart"/>
            <w:r w:rsidRPr="008E1D00">
              <w:rPr>
                <w:rFonts w:ascii="Trebuchet MS" w:hAnsi="Trebuchet MS"/>
              </w:rPr>
              <w:t>socio</w:t>
            </w:r>
            <w:proofErr w:type="spellEnd"/>
            <w:r w:rsidRPr="008E1D00">
              <w:rPr>
                <w:rFonts w:ascii="Trebuchet MS" w:hAnsi="Trebuchet MS"/>
              </w:rPr>
              <w:t xml:space="preserve">-economică constantă </w:t>
            </w:r>
            <w:proofErr w:type="spellStart"/>
            <w:r w:rsidRPr="008E1D00">
              <w:rPr>
                <w:rFonts w:ascii="Trebuchet MS" w:hAnsi="Trebuchet MS"/>
              </w:rPr>
              <w:t>şi</w:t>
            </w:r>
            <w:proofErr w:type="spellEnd"/>
            <w:r w:rsidRPr="008E1D00">
              <w:rPr>
                <w:rFonts w:ascii="Trebuchet MS" w:hAnsi="Trebuchet MS"/>
              </w:rPr>
              <w:t xml:space="preserve"> semnificativă asupra zonei înconjurătoare.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t xml:space="preserve">Sursa: Legea nr. 351/2001 privind aprobarea Planului de amenajare a teritoriului </w:t>
            </w:r>
            <w:proofErr w:type="spellStart"/>
            <w:r w:rsidRPr="008E1D00">
              <w:rPr>
                <w:rFonts w:ascii="Trebuchet MS" w:hAnsi="Trebuchet MS"/>
              </w:rPr>
              <w:t>naţional</w:t>
            </w:r>
            <w:proofErr w:type="spellEnd"/>
            <w:r w:rsidRPr="008E1D00">
              <w:rPr>
                <w:rFonts w:ascii="Trebuchet MS" w:hAnsi="Trebuchet MS"/>
              </w:rPr>
              <w:t xml:space="preserve"> - </w:t>
            </w:r>
            <w:proofErr w:type="spellStart"/>
            <w:r w:rsidRPr="008E1D00">
              <w:rPr>
                <w:rFonts w:ascii="Trebuchet MS" w:hAnsi="Trebuchet MS"/>
              </w:rPr>
              <w:t>Secţiunea</w:t>
            </w:r>
            <w:proofErr w:type="spellEnd"/>
            <w:r w:rsidRPr="008E1D00">
              <w:rPr>
                <w:rFonts w:ascii="Trebuchet MS" w:hAnsi="Trebuchet MS"/>
              </w:rPr>
              <w:t xml:space="preserve"> a IV-a </w:t>
            </w:r>
            <w:proofErr w:type="spellStart"/>
            <w:r w:rsidRPr="008E1D00">
              <w:rPr>
                <w:rFonts w:ascii="Trebuchet MS" w:hAnsi="Trebuchet MS"/>
              </w:rPr>
              <w:t>Reţeaua</w:t>
            </w:r>
            <w:proofErr w:type="spellEnd"/>
            <w:r w:rsidRPr="008E1D00">
              <w:rPr>
                <w:rFonts w:ascii="Trebuchet MS" w:hAnsi="Trebuchet MS"/>
              </w:rPr>
              <w:t xml:space="preserve"> de </w:t>
            </w:r>
            <w:proofErr w:type="spellStart"/>
            <w:r w:rsidRPr="008E1D00">
              <w:rPr>
                <w:rFonts w:ascii="Trebuchet MS" w:hAnsi="Trebuchet MS"/>
              </w:rPr>
              <w:t>localităţi</w:t>
            </w:r>
            <w:proofErr w:type="spellEnd"/>
            <w:r w:rsidRPr="008E1D00">
              <w:rPr>
                <w:rFonts w:ascii="Trebuchet MS" w:hAnsi="Trebuchet MS"/>
              </w:rPr>
              <w:t xml:space="preserve"> (</w:t>
            </w:r>
            <w:proofErr w:type="spellStart"/>
            <w:r w:rsidRPr="008E1D00">
              <w:rPr>
                <w:rFonts w:ascii="Trebuchet MS" w:hAnsi="Trebuchet MS"/>
              </w:rPr>
              <w:t>oraşe</w:t>
            </w:r>
            <w:proofErr w:type="spellEnd"/>
            <w:r w:rsidRPr="008E1D00">
              <w:rPr>
                <w:rFonts w:ascii="Trebuchet MS" w:hAnsi="Trebuchet MS"/>
              </w:rPr>
              <w:t>/ municipii)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t>”Întreprindere non-agricolă” – întreprinderi care nu desfășoară activități din clasele CAEN 01 (Agricultură, vânătoare și servicii anexe), 02 (Silvicultură și exploatare forestieră) și 03 (Pescuitul și acvacultura), conform clasificărilor CAEN în vigoare.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lastRenderedPageBreak/>
              <w:t xml:space="preserve">“Data intrării în operațiunea FSE” reprezintă „data la care entitatea a beneficiat prima dată de sprijinul oferit prin </w:t>
            </w:r>
            <w:proofErr w:type="spellStart"/>
            <w:r w:rsidRPr="008E1D00">
              <w:rPr>
                <w:rFonts w:ascii="Trebuchet MS" w:hAnsi="Trebuchet MS"/>
              </w:rPr>
              <w:t>operaţiune</w:t>
            </w:r>
            <w:proofErr w:type="spellEnd"/>
            <w:r w:rsidRPr="008E1D00">
              <w:rPr>
                <w:rFonts w:ascii="Trebuchet MS" w:hAnsi="Trebuchet MS"/>
              </w:rPr>
              <w:t xml:space="preserve">”. 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t xml:space="preserve">Sursa: Anexa D – Orientare practică privind colectarea </w:t>
            </w:r>
            <w:proofErr w:type="spellStart"/>
            <w:r w:rsidRPr="008E1D00">
              <w:rPr>
                <w:rFonts w:ascii="Trebuchet MS" w:hAnsi="Trebuchet MS"/>
              </w:rPr>
              <w:t>şi</w:t>
            </w:r>
            <w:proofErr w:type="spellEnd"/>
            <w:r w:rsidRPr="008E1D00">
              <w:rPr>
                <w:rFonts w:ascii="Trebuchet MS" w:hAnsi="Trebuchet MS"/>
              </w:rPr>
              <w:t xml:space="preserve"> validarea datelor din orientările Comisiei Europene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t>„Operațiune”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</w:t>
            </w:r>
          </w:p>
          <w:p w:rsidR="008E1D00" w:rsidRPr="008E1D00" w:rsidRDefault="008E1D00" w:rsidP="008E1D00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60"/>
              <w:jc w:val="both"/>
              <w:rPr>
                <w:rFonts w:ascii="Trebuchet MS" w:hAnsi="Trebuchet MS"/>
              </w:rPr>
            </w:pPr>
            <w:r w:rsidRPr="008E1D00">
              <w:rPr>
                <w:rFonts w:ascii="Trebuchet MS" w:hAnsi="Trebuchet MS"/>
              </w:rPr>
              <w:t>Sursa: Regulament (UE) nr. 1303/2013 al Parlamentului European și al Consiliului din 17 decembrie 2013 de stabilire a unor dispoziții comune</w:t>
            </w:r>
          </w:p>
          <w:p w:rsidR="007C5089" w:rsidRPr="00437F2A" w:rsidRDefault="007C5089" w:rsidP="008E1D0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eastAsia="Calibri" w:hAnsi="Trebuchet MS" w:cs="Times New Roman"/>
              </w:rPr>
              <w:t xml:space="preserve">Ținta minimă pentru indicatorul 4S12 este de 600 de </w:t>
            </w:r>
            <w:r>
              <w:rPr>
                <w:rFonts w:ascii="Trebuchet MS" w:hAnsi="Trebuchet MS" w:cs="TimesNewRomanPSMT"/>
              </w:rPr>
              <w:t>m</w:t>
            </w:r>
            <w:r w:rsidRPr="00437F2A">
              <w:rPr>
                <w:rFonts w:ascii="Trebuchet MS" w:hAnsi="Trebuchet MS" w:cs="TimesNewRomanPSMT"/>
              </w:rPr>
              <w:t>icroîntreprinderi și întreprinderi mici și mijlocii care beneficiază de sprijin</w:t>
            </w:r>
          </w:p>
          <w:p w:rsidR="007C5089" w:rsidRPr="00EA07AA" w:rsidRDefault="007C5089" w:rsidP="007C5089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</w:p>
        </w:tc>
      </w:tr>
      <w:tr w:rsidR="004D2F96" w:rsidRPr="00EA07AA" w:rsidTr="00A661DC">
        <w:tc>
          <w:tcPr>
            <w:tcW w:w="383" w:type="pct"/>
            <w:shd w:val="clear" w:color="auto" w:fill="auto"/>
          </w:tcPr>
          <w:p w:rsidR="004D2F96" w:rsidRPr="00EA07AA" w:rsidRDefault="007C5089" w:rsidP="007C5089">
            <w:pPr>
              <w:pStyle w:val="Listparagraf1"/>
              <w:spacing w:after="0" w:line="240" w:lineRule="auto"/>
              <w:ind w:left="0"/>
              <w:contextualSpacing w:val="0"/>
              <w:jc w:val="both"/>
              <w:rPr>
                <w:rFonts w:ascii="Trebuchet MS" w:hAnsi="Trebuchet MS"/>
                <w:color w:val="000000"/>
                <w:lang w:val="ro-RO"/>
              </w:rPr>
            </w:pPr>
            <w:r w:rsidRPr="00437F2A">
              <w:rPr>
                <w:rFonts w:ascii="Trebuchet MS" w:hAnsi="Trebuchet MS"/>
                <w:kern w:val="28"/>
                <w:lang w:val="ro-RO" w:eastAsia="en-GB"/>
              </w:rPr>
              <w:lastRenderedPageBreak/>
              <w:t>4S</w:t>
            </w:r>
            <w:r w:rsidRPr="00437F2A">
              <w:rPr>
                <w:rFonts w:ascii="Trebuchet MS" w:hAnsi="Trebuchet MS"/>
                <w:lang w:val="ro-RO"/>
              </w:rPr>
              <w:t>144</w:t>
            </w:r>
          </w:p>
        </w:tc>
        <w:tc>
          <w:tcPr>
            <w:tcW w:w="1034" w:type="pct"/>
            <w:shd w:val="clear" w:color="auto" w:fill="auto"/>
          </w:tcPr>
          <w:p w:rsidR="004D2F96" w:rsidRPr="00EA07AA" w:rsidRDefault="007C5089" w:rsidP="00A661DC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437F2A">
              <w:rPr>
                <w:rFonts w:ascii="Trebuchet MS" w:eastAsia="Calibri" w:hAnsi="Trebuchet MS"/>
                <w:b/>
              </w:rPr>
              <w:t>Indicatori de rezultat</w:t>
            </w:r>
          </w:p>
        </w:tc>
        <w:tc>
          <w:tcPr>
            <w:tcW w:w="1289" w:type="pct"/>
            <w:shd w:val="clear" w:color="auto" w:fill="auto"/>
          </w:tcPr>
          <w:p w:rsidR="007C5089" w:rsidRPr="00437F2A" w:rsidRDefault="007C5089" w:rsidP="007C508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rebuchet MS" w:hAnsi="Trebuchet MS" w:cs="TimesNewRomanPSMT"/>
              </w:rPr>
            </w:pPr>
            <w:r w:rsidRPr="00437F2A">
              <w:rPr>
                <w:rFonts w:ascii="Trebuchet MS" w:hAnsi="Trebuchet MS" w:cs="TimesNewRomanPSMT"/>
              </w:rPr>
              <w:t xml:space="preserve">Locuri de muncă create și existente  urmare a sprijinului primit de IMM-uri la 6 luni după </w:t>
            </w:r>
            <w:r w:rsidRPr="00437F2A">
              <w:rPr>
                <w:rFonts w:ascii="Trebuchet MS" w:hAnsi="Trebuchet MS" w:cs="TimesNewRomanPSMT"/>
              </w:rPr>
              <w:lastRenderedPageBreak/>
              <w:t>terminarea sprijinului</w:t>
            </w:r>
          </w:p>
          <w:p w:rsidR="004D2F96" w:rsidRPr="00EA07AA" w:rsidRDefault="004D2F96" w:rsidP="00A661DC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</w:p>
        </w:tc>
        <w:tc>
          <w:tcPr>
            <w:tcW w:w="2294" w:type="pct"/>
            <w:shd w:val="clear" w:color="auto" w:fill="auto"/>
          </w:tcPr>
          <w:p w:rsidR="008E1D00" w:rsidRPr="008E1D00" w:rsidRDefault="008E1D00" w:rsidP="008E1D00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8E1D00">
              <w:rPr>
                <w:rFonts w:ascii="Trebuchet MS" w:hAnsi="Trebuchet MS"/>
                <w:color w:val="000000"/>
              </w:rPr>
              <w:lastRenderedPageBreak/>
              <w:t xml:space="preserve">Acest indicator reprezintă numărul de locuri de muncă nou create în urma sprijinului primit de </w:t>
            </w:r>
            <w:proofErr w:type="spellStart"/>
            <w:r w:rsidRPr="008E1D00">
              <w:rPr>
                <w:rFonts w:ascii="Trebuchet MS" w:hAnsi="Trebuchet MS"/>
                <w:color w:val="000000"/>
              </w:rPr>
              <w:t>IMMuri</w:t>
            </w:r>
            <w:proofErr w:type="spellEnd"/>
            <w:r w:rsidRPr="008E1D00">
              <w:rPr>
                <w:rFonts w:ascii="Trebuchet MS" w:hAnsi="Trebuchet MS"/>
                <w:color w:val="000000"/>
              </w:rPr>
              <w:t xml:space="preserve"> în cadrul operațiunilor finanțate în contextul Obiectivului Specific 3.7 și menținute la 6 luni de la finalizarea sprijinului FSE, entitatea </w:t>
            </w:r>
            <w:r w:rsidRPr="008E1D00">
              <w:rPr>
                <w:rFonts w:ascii="Trebuchet MS" w:hAnsi="Trebuchet MS"/>
                <w:color w:val="000000"/>
              </w:rPr>
              <w:lastRenderedPageBreak/>
              <w:t>care a beneficiat de sprijin a îndeplinit la momentul acordării finanțării cumulativ următoarele criterii:</w:t>
            </w:r>
          </w:p>
          <w:p w:rsidR="008E1D00" w:rsidRPr="008E1D00" w:rsidRDefault="008E1D00" w:rsidP="008E1D00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8E1D00">
              <w:rPr>
                <w:rFonts w:ascii="Trebuchet MS" w:hAnsi="Trebuchet MS"/>
                <w:color w:val="000000"/>
              </w:rPr>
              <w:t>- activează într-una din regiunile de dezvoltare eligibile (regiuni mai puțin dezvoltate)</w:t>
            </w:r>
          </w:p>
          <w:p w:rsidR="00D86189" w:rsidRDefault="008E1D00" w:rsidP="008E1D00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8E1D00">
              <w:rPr>
                <w:rFonts w:ascii="Trebuchet MS" w:hAnsi="Trebuchet MS"/>
                <w:color w:val="000000"/>
              </w:rPr>
              <w:t xml:space="preserve">- sunt microîntreprinderi sau întreprinderi mici </w:t>
            </w:r>
            <w:proofErr w:type="spellStart"/>
            <w:r w:rsidRPr="008E1D00">
              <w:rPr>
                <w:rFonts w:ascii="Trebuchet MS" w:hAnsi="Trebuchet MS"/>
                <w:color w:val="000000"/>
              </w:rPr>
              <w:t>şi</w:t>
            </w:r>
            <w:proofErr w:type="spellEnd"/>
            <w:r w:rsidRPr="008E1D00">
              <w:rPr>
                <w:rFonts w:ascii="Trebuchet MS" w:hAnsi="Trebuchet MS"/>
                <w:color w:val="000000"/>
              </w:rPr>
              <w:t xml:space="preserve"> mijlocii non-agricole din zonele urbane, cu un istoric de funcționare până la un an</w:t>
            </w:r>
          </w:p>
          <w:p w:rsidR="008E1D00" w:rsidRDefault="008E1D00" w:rsidP="008E1D00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bookmarkStart w:id="0" w:name="_GoBack"/>
            <w:bookmarkEnd w:id="0"/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>EXPLICAŢIILE TERMENILOR: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 xml:space="preserve">O persoană se consideră că are un loc de muncă dacă aceasta a prestat muncă pentru salariu sau profit în săptămâna de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referinţă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>.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 xml:space="preserve">”Loc de muncă” - cadrul în care se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desfăşoară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o activitate din care se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obţine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un venit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şi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în care se materializează raporturile juridice de muncă sau raporturile juridice de serviciu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>Sursa: Legea nr. 76/2002 cu modificările și completările ulterioare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 xml:space="preserve">„Întreprinderi mici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şi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mijlocii” sunt acele întreprinderi care îndeplinesc cumulativ următoarele condiții: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 xml:space="preserve">a) au un număr mediu anual de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salariaţi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mai mic de 250; 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 xml:space="preserve">b) realizează o cifră de afaceri anuală echivalentă cu până la 50 milioane de euro sau totalul activelor nu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depăşeşte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echivalentul în lei a 43 milioane de euro, în conformitate cu ultimele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situaţii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financiare aprobate. Total active înseamnă </w:t>
            </w:r>
            <w:r w:rsidRPr="00352244">
              <w:rPr>
                <w:rFonts w:ascii="Trebuchet MS" w:hAnsi="Trebuchet MS"/>
                <w:color w:val="000000"/>
              </w:rPr>
              <w:lastRenderedPageBreak/>
              <w:t>active plus active circulante plus cheltuieli în avans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 xml:space="preserve">Sursa: Legea nr. 346/2004 privind stimularea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înfiinţării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şi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dezvoltării întreprinderilor mici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şi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mijlocii, Art. 4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>”Întreprindere non-agricolă” – întreprinderi care nu desfășoară activități din clasele CAEN 01 (Agricultură, vânătoare și servicii conexe), 02 (Silvicultură și exploatare forestieră) și 03 (Pescuitul și acvacultura), conform clasificărilor CAEN în vigoare.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 xml:space="preserve">“Zone urbane” sunt zone în care majoritatea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forţei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de muncă este ocupată în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activităţi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non-agricole cu un nivel diversificat de dotare și echipare, exercitând o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influenţă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socio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-economică constantă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şi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semnificativă asupra zonei înconjurătoare.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 xml:space="preserve">Sursa: Legii nr. 351/2001 privind aprobarea Planului de amenajare a teritoriului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naţional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-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Secţiunea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a IV-a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Reţeaua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de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localităţi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(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oraşe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>/ municipii)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 xml:space="preserve">“Data intrării în operațiunea FSE” reprezintă „data la care entitatea a beneficiat prima dată de sprijinul oferit prin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operaţiune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”. 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 xml:space="preserve">Sursa: Anexa D – Orientare practică privind colectarea </w:t>
            </w:r>
            <w:proofErr w:type="spellStart"/>
            <w:r w:rsidRPr="00352244">
              <w:rPr>
                <w:rFonts w:ascii="Trebuchet MS" w:hAnsi="Trebuchet MS"/>
                <w:color w:val="000000"/>
              </w:rPr>
              <w:t>şi</w:t>
            </w:r>
            <w:proofErr w:type="spellEnd"/>
            <w:r w:rsidRPr="00352244">
              <w:rPr>
                <w:rFonts w:ascii="Trebuchet MS" w:hAnsi="Trebuchet MS"/>
                <w:color w:val="000000"/>
              </w:rPr>
              <w:t xml:space="preserve"> validarea datelor din orientările Comisiei Europene</w:t>
            </w: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</w:p>
          <w:p w:rsidR="00352244" w:rsidRPr="00352244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 xml:space="preserve">„Operațiune” înseamnă un proiect, un contract, o acțiune sau un grup de proiecte selectate de autoritățile de management </w:t>
            </w:r>
            <w:r w:rsidRPr="00352244">
              <w:rPr>
                <w:rFonts w:ascii="Trebuchet MS" w:hAnsi="Trebuchet MS"/>
                <w:color w:val="000000"/>
              </w:rPr>
              <w:lastRenderedPageBreak/>
              <w:t>ale programelor în cauză sau sub responsabilitatea acestora, care contribuie la realizarea obiectivelor unei priorități sau unor priorități aferente; în contextul instrumentelor financiare, o operațiune este constituită de contribuțiile financiare dintr-un program la instrumentele financiare și la sprijinul financiar ulterior oferit de respectivele instrumente financiare</w:t>
            </w:r>
          </w:p>
          <w:p w:rsidR="008E1D00" w:rsidRDefault="00352244" w:rsidP="00352244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352244">
              <w:rPr>
                <w:rFonts w:ascii="Trebuchet MS" w:hAnsi="Trebuchet MS"/>
                <w:color w:val="000000"/>
              </w:rPr>
              <w:t>Sursa: Regulament (UE) nr. 1303/2013 al Parlamentului European și al Consiliului din 17 decembrie 2013 de stabilire a unor dispoziții comune</w:t>
            </w:r>
          </w:p>
          <w:p w:rsidR="00D86189" w:rsidRPr="00D86189" w:rsidRDefault="00D86189" w:rsidP="00D86189">
            <w:pPr>
              <w:spacing w:before="60" w:after="60" w:line="240" w:lineRule="auto"/>
              <w:jc w:val="both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Ținta minimă pentru indicatorul 4S144 este de 2</w:t>
            </w:r>
            <w:r w:rsidR="00791FA3">
              <w:rPr>
                <w:rFonts w:ascii="Trebuchet MS" w:hAnsi="Trebuchet MS"/>
                <w:color w:val="000000"/>
              </w:rPr>
              <w:t xml:space="preserve"> </w:t>
            </w:r>
            <w:r>
              <w:rPr>
                <w:rFonts w:ascii="Trebuchet MS" w:hAnsi="Trebuchet MS"/>
                <w:color w:val="000000"/>
              </w:rPr>
              <w:t>X</w:t>
            </w:r>
            <w:r w:rsidR="00791FA3">
              <w:rPr>
                <w:rFonts w:ascii="Trebuchet MS" w:hAnsi="Trebuchet MS"/>
                <w:color w:val="000000"/>
              </w:rPr>
              <w:t xml:space="preserve"> </w:t>
            </w:r>
            <w:r>
              <w:rPr>
                <w:rFonts w:ascii="Trebuchet MS" w:hAnsi="Trebuchet MS"/>
                <w:color w:val="000000"/>
              </w:rPr>
              <w:t>valoarea indicatorului 4S12</w:t>
            </w:r>
          </w:p>
          <w:p w:rsidR="00D86189" w:rsidRPr="00EA07AA" w:rsidRDefault="00D86189" w:rsidP="00A661DC">
            <w:pPr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</w:p>
        </w:tc>
      </w:tr>
    </w:tbl>
    <w:p w:rsidR="00046A51" w:rsidRPr="005B5C7F" w:rsidRDefault="00046A51" w:rsidP="008C274B">
      <w:pPr>
        <w:jc w:val="both"/>
        <w:rPr>
          <w:rFonts w:ascii="Trebuchet MS" w:hAnsi="Trebuchet MS"/>
        </w:rPr>
      </w:pPr>
    </w:p>
    <w:sectPr w:rsidR="00046A51" w:rsidRPr="005B5C7F" w:rsidSect="00046A5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35D" w:rsidRDefault="001F035D" w:rsidP="00321234">
      <w:pPr>
        <w:spacing w:after="0" w:line="240" w:lineRule="auto"/>
      </w:pPr>
      <w:r>
        <w:separator/>
      </w:r>
    </w:p>
  </w:endnote>
  <w:endnote w:type="continuationSeparator" w:id="0">
    <w:p w:rsidR="001F035D" w:rsidRDefault="001F035D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ont202">
    <w:altName w:val="MS Gothic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699844"/>
      <w:docPartObj>
        <w:docPartGallery w:val="Page Numbers (Bottom of Page)"/>
        <w:docPartUnique/>
      </w:docPartObj>
    </w:sdtPr>
    <w:sdtEndPr>
      <w:rPr>
        <w:rFonts w:ascii="Calibri" w:hAnsi="Calibri"/>
        <w:b/>
        <w:color w:val="17365D" w:themeColor="text2" w:themeShade="BF"/>
        <w:sz w:val="20"/>
        <w:szCs w:val="20"/>
      </w:rPr>
    </w:sdtEndPr>
    <w:sdtContent>
      <w:p w:rsidR="005327AC" w:rsidRPr="0072534F" w:rsidRDefault="005327AC">
        <w:pPr>
          <w:pStyle w:val="Subsol"/>
          <w:jc w:val="right"/>
          <w:rPr>
            <w:rFonts w:ascii="Calibri" w:hAnsi="Calibri"/>
            <w:b/>
            <w:color w:val="17365D" w:themeColor="text2" w:themeShade="BF"/>
            <w:sz w:val="20"/>
            <w:szCs w:val="20"/>
          </w:rPr>
        </w:pP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fldChar w:fldCharType="begin"/>
        </w: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instrText>PAGE   \* MERGEFORMAT</w:instrText>
        </w: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fldChar w:fldCharType="separate"/>
        </w:r>
        <w:r w:rsidR="00352244">
          <w:rPr>
            <w:rFonts w:ascii="Calibri" w:hAnsi="Calibri"/>
            <w:b/>
            <w:noProof/>
            <w:color w:val="17365D" w:themeColor="text2" w:themeShade="BF"/>
            <w:sz w:val="20"/>
            <w:szCs w:val="20"/>
          </w:rPr>
          <w:t>6</w:t>
        </w: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fldChar w:fldCharType="end"/>
        </w:r>
      </w:p>
    </w:sdtContent>
  </w:sdt>
  <w:p w:rsidR="00844D93" w:rsidRPr="009334AB" w:rsidRDefault="00844D93" w:rsidP="00844D93">
    <w:pPr>
      <w:pStyle w:val="Subsol"/>
      <w:jc w:val="center"/>
      <w:rPr>
        <w:rFonts w:ascii="Calibri" w:hAnsi="Calibri"/>
        <w:color w:val="002060"/>
        <w:sz w:val="18"/>
        <w:szCs w:val="18"/>
      </w:rPr>
    </w:pPr>
    <w:r w:rsidRPr="009334AB">
      <w:rPr>
        <w:rFonts w:ascii="Calibri" w:hAnsi="Calibri"/>
        <w:color w:val="002060"/>
        <w:sz w:val="18"/>
        <w:szCs w:val="18"/>
      </w:rPr>
      <w:t>Ghidul Solicitantului – Condiții Specifice</w:t>
    </w:r>
  </w:p>
  <w:p w:rsidR="00D86189" w:rsidRPr="00437F2A" w:rsidRDefault="00D86189" w:rsidP="00D86189">
    <w:pPr>
      <w:spacing w:after="0"/>
      <w:jc w:val="center"/>
      <w:rPr>
        <w:rFonts w:ascii="Trebuchet MS" w:hAnsi="Trebuchet MS"/>
        <w:b/>
        <w:bCs/>
        <w:i/>
        <w:iCs/>
      </w:rPr>
    </w:pPr>
    <w:r w:rsidRPr="00437F2A">
      <w:rPr>
        <w:rFonts w:ascii="Trebuchet MS" w:hAnsi="Trebuchet MS"/>
        <w:b/>
        <w:bCs/>
        <w:i/>
        <w:iCs/>
      </w:rPr>
      <w:t xml:space="preserve">România Start </w:t>
    </w:r>
    <w:proofErr w:type="spellStart"/>
    <w:r w:rsidRPr="00437F2A">
      <w:rPr>
        <w:rFonts w:ascii="Trebuchet MS" w:hAnsi="Trebuchet MS"/>
        <w:b/>
        <w:bCs/>
        <w:i/>
        <w:iCs/>
      </w:rPr>
      <w:t>Up</w:t>
    </w:r>
    <w:proofErr w:type="spellEnd"/>
    <w:r w:rsidRPr="00437F2A">
      <w:rPr>
        <w:rFonts w:ascii="Trebuchet MS" w:hAnsi="Trebuchet MS"/>
        <w:b/>
        <w:bCs/>
        <w:i/>
        <w:iCs/>
      </w:rPr>
      <w:t xml:space="preserve"> </w:t>
    </w:r>
    <w:proofErr w:type="spellStart"/>
    <w:r w:rsidRPr="00437F2A">
      <w:rPr>
        <w:rFonts w:ascii="Trebuchet MS" w:hAnsi="Trebuchet MS"/>
        <w:b/>
        <w:bCs/>
        <w:i/>
        <w:iCs/>
      </w:rPr>
      <w:t>Nation</w:t>
    </w:r>
    <w:proofErr w:type="spellEnd"/>
  </w:p>
  <w:p w:rsidR="00844D93" w:rsidRPr="00393179" w:rsidRDefault="00844D93" w:rsidP="00844D93">
    <w:pPr>
      <w:pStyle w:val="Subsol"/>
      <w:jc w:val="center"/>
      <w:rPr>
        <w:rFonts w:ascii="Calibri" w:hAnsi="Calibri"/>
        <w:color w:val="002060"/>
        <w:sz w:val="18"/>
        <w:szCs w:val="18"/>
      </w:rPr>
    </w:pPr>
    <w:r>
      <w:rPr>
        <w:rFonts w:ascii="Calibri" w:hAnsi="Calibri"/>
        <w:color w:val="002060"/>
        <w:sz w:val="18"/>
        <w:szCs w:val="18"/>
      </w:rPr>
      <w:t xml:space="preserve">AP </w:t>
    </w:r>
    <w:r w:rsidR="00D86189">
      <w:rPr>
        <w:rFonts w:ascii="Calibri" w:hAnsi="Calibri"/>
        <w:color w:val="002060"/>
        <w:sz w:val="18"/>
        <w:szCs w:val="18"/>
      </w:rPr>
      <w:t>3</w:t>
    </w:r>
    <w:r>
      <w:rPr>
        <w:rFonts w:ascii="Calibri" w:hAnsi="Calibri"/>
        <w:color w:val="002060"/>
        <w:sz w:val="18"/>
        <w:szCs w:val="18"/>
      </w:rPr>
      <w:t>/PI 8i</w:t>
    </w:r>
    <w:r w:rsidR="00D86189">
      <w:rPr>
        <w:rFonts w:ascii="Calibri" w:hAnsi="Calibri"/>
        <w:color w:val="002060"/>
        <w:sz w:val="18"/>
        <w:szCs w:val="18"/>
      </w:rPr>
      <w:t>i</w:t>
    </w:r>
    <w:r>
      <w:rPr>
        <w:rFonts w:ascii="Calibri" w:hAnsi="Calibri"/>
        <w:color w:val="002060"/>
        <w:sz w:val="18"/>
        <w:szCs w:val="18"/>
      </w:rPr>
      <w:t xml:space="preserve">i/ OS </w:t>
    </w:r>
    <w:r w:rsidR="00D86189">
      <w:rPr>
        <w:rFonts w:ascii="Calibri" w:hAnsi="Calibri"/>
        <w:color w:val="002060"/>
        <w:sz w:val="18"/>
        <w:szCs w:val="18"/>
      </w:rPr>
      <w:t>3.7</w:t>
    </w:r>
  </w:p>
  <w:p w:rsidR="005327AC" w:rsidRPr="002C46C9" w:rsidRDefault="005327AC">
    <w:pPr>
      <w:pStyle w:val="Subsol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35D" w:rsidRDefault="001F035D" w:rsidP="00321234">
      <w:pPr>
        <w:spacing w:after="0" w:line="240" w:lineRule="auto"/>
      </w:pPr>
      <w:r>
        <w:separator/>
      </w:r>
    </w:p>
  </w:footnote>
  <w:footnote w:type="continuationSeparator" w:id="0">
    <w:p w:rsidR="001F035D" w:rsidRDefault="001F035D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4FA0790"/>
    <w:multiLevelType w:val="hybridMultilevel"/>
    <w:tmpl w:val="A59821D2"/>
    <w:lvl w:ilvl="0" w:tplc="7FE030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B3D"/>
    <w:multiLevelType w:val="hybridMultilevel"/>
    <w:tmpl w:val="BE7EA0B0"/>
    <w:lvl w:ilvl="0" w:tplc="146014B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16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170F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65616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52147"/>
    <w:multiLevelType w:val="hybridMultilevel"/>
    <w:tmpl w:val="0672B714"/>
    <w:lvl w:ilvl="0" w:tplc="18B68738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28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51229"/>
    <w:multiLevelType w:val="hybridMultilevel"/>
    <w:tmpl w:val="C0AE7FE8"/>
    <w:lvl w:ilvl="0" w:tplc="146014B0">
      <w:start w:val="1"/>
      <w:numFmt w:val="bullet"/>
      <w:lvlText w:val=""/>
      <w:lvlJc w:val="left"/>
      <w:pPr>
        <w:ind w:left="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pStyle w:val="Titlu2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492432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77F09"/>
    <w:multiLevelType w:val="hybridMultilevel"/>
    <w:tmpl w:val="94A2ACD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2667E"/>
    <w:multiLevelType w:val="hybridMultilevel"/>
    <w:tmpl w:val="7F9015B2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0C1A56"/>
    <w:multiLevelType w:val="hybridMultilevel"/>
    <w:tmpl w:val="26ACE58C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44781D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5117C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20ADD"/>
    <w:multiLevelType w:val="hybridMultilevel"/>
    <w:tmpl w:val="D1E25F4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6203C6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33112"/>
    <w:multiLevelType w:val="hybridMultilevel"/>
    <w:tmpl w:val="923C6EC2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BF2BF4"/>
    <w:multiLevelType w:val="hybridMultilevel"/>
    <w:tmpl w:val="6DFE0CB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667650A4">
      <w:start w:val="5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FE37E2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2871F2"/>
    <w:multiLevelType w:val="hybridMultilevel"/>
    <w:tmpl w:val="3AD0B0F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6D75E3"/>
    <w:multiLevelType w:val="hybridMultilevel"/>
    <w:tmpl w:val="9904A2E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A4358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D24DE9"/>
    <w:multiLevelType w:val="hybridMultilevel"/>
    <w:tmpl w:val="4948A08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434424"/>
    <w:multiLevelType w:val="hybridMultilevel"/>
    <w:tmpl w:val="A5C2834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DC53A8F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32325"/>
    <w:multiLevelType w:val="hybridMultilevel"/>
    <w:tmpl w:val="15BAE604"/>
    <w:lvl w:ilvl="0" w:tplc="146014B0">
      <w:start w:val="1"/>
      <w:numFmt w:val="bullet"/>
      <w:lvlText w:val=""/>
      <w:lvlJc w:val="left"/>
      <w:pPr>
        <w:ind w:left="765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50EC43C1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2D3BC4"/>
    <w:multiLevelType w:val="hybridMultilevel"/>
    <w:tmpl w:val="3F96E888"/>
    <w:lvl w:ilvl="0" w:tplc="309888F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70C2D3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92911"/>
    <w:multiLevelType w:val="hybridMultilevel"/>
    <w:tmpl w:val="CF581AD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6B442F9"/>
    <w:multiLevelType w:val="hybridMultilevel"/>
    <w:tmpl w:val="1D6E51B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186880"/>
    <w:multiLevelType w:val="hybridMultilevel"/>
    <w:tmpl w:val="864EFE4C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A608F2"/>
    <w:multiLevelType w:val="hybridMultilevel"/>
    <w:tmpl w:val="A42E2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4760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4A510D"/>
    <w:multiLevelType w:val="hybridMultilevel"/>
    <w:tmpl w:val="32C060B8"/>
    <w:lvl w:ilvl="0" w:tplc="3B769C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31D7323"/>
    <w:multiLevelType w:val="hybridMultilevel"/>
    <w:tmpl w:val="176CD4A2"/>
    <w:lvl w:ilvl="0" w:tplc="0BDE997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ABD7248"/>
    <w:multiLevelType w:val="hybridMultilevel"/>
    <w:tmpl w:val="FACE4A9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A2388C"/>
    <w:multiLevelType w:val="hybridMultilevel"/>
    <w:tmpl w:val="40B6D67A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3B524F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7"/>
  </w:num>
  <w:num w:numId="3">
    <w:abstractNumId w:val="33"/>
  </w:num>
  <w:num w:numId="4">
    <w:abstractNumId w:val="11"/>
  </w:num>
  <w:num w:numId="5">
    <w:abstractNumId w:val="7"/>
  </w:num>
  <w:num w:numId="6">
    <w:abstractNumId w:val="0"/>
  </w:num>
  <w:num w:numId="7">
    <w:abstractNumId w:val="21"/>
  </w:num>
  <w:num w:numId="8">
    <w:abstractNumId w:val="13"/>
  </w:num>
  <w:num w:numId="9">
    <w:abstractNumId w:val="38"/>
  </w:num>
  <w:num w:numId="10">
    <w:abstractNumId w:val="14"/>
  </w:num>
  <w:num w:numId="11">
    <w:abstractNumId w:val="40"/>
  </w:num>
  <w:num w:numId="12">
    <w:abstractNumId w:val="39"/>
  </w:num>
  <w:num w:numId="13">
    <w:abstractNumId w:val="12"/>
  </w:num>
  <w:num w:numId="14">
    <w:abstractNumId w:val="1"/>
  </w:num>
  <w:num w:numId="15">
    <w:abstractNumId w:val="6"/>
  </w:num>
  <w:num w:numId="16">
    <w:abstractNumId w:val="30"/>
  </w:num>
  <w:num w:numId="17">
    <w:abstractNumId w:val="29"/>
  </w:num>
  <w:num w:numId="18">
    <w:abstractNumId w:val="5"/>
  </w:num>
  <w:num w:numId="19">
    <w:abstractNumId w:val="15"/>
  </w:num>
  <w:num w:numId="20">
    <w:abstractNumId w:val="4"/>
  </w:num>
  <w:num w:numId="21">
    <w:abstractNumId w:val="31"/>
  </w:num>
  <w:num w:numId="22">
    <w:abstractNumId w:val="41"/>
  </w:num>
  <w:num w:numId="23">
    <w:abstractNumId w:val="16"/>
  </w:num>
  <w:num w:numId="24">
    <w:abstractNumId w:val="24"/>
  </w:num>
  <w:num w:numId="25">
    <w:abstractNumId w:val="8"/>
  </w:num>
  <w:num w:numId="26">
    <w:abstractNumId w:val="2"/>
  </w:num>
  <w:num w:numId="27">
    <w:abstractNumId w:val="37"/>
  </w:num>
  <w:num w:numId="28">
    <w:abstractNumId w:val="34"/>
  </w:num>
  <w:num w:numId="29">
    <w:abstractNumId w:val="9"/>
  </w:num>
  <w:num w:numId="30">
    <w:abstractNumId w:val="23"/>
  </w:num>
  <w:num w:numId="31">
    <w:abstractNumId w:val="3"/>
  </w:num>
  <w:num w:numId="32">
    <w:abstractNumId w:val="18"/>
  </w:num>
  <w:num w:numId="33">
    <w:abstractNumId w:val="27"/>
  </w:num>
  <w:num w:numId="34">
    <w:abstractNumId w:val="42"/>
  </w:num>
  <w:num w:numId="35">
    <w:abstractNumId w:val="28"/>
  </w:num>
  <w:num w:numId="36">
    <w:abstractNumId w:val="36"/>
  </w:num>
  <w:num w:numId="37">
    <w:abstractNumId w:val="25"/>
  </w:num>
  <w:num w:numId="38">
    <w:abstractNumId w:val="26"/>
  </w:num>
  <w:num w:numId="39">
    <w:abstractNumId w:val="20"/>
  </w:num>
  <w:num w:numId="40">
    <w:abstractNumId w:val="10"/>
  </w:num>
  <w:num w:numId="41">
    <w:abstractNumId w:val="35"/>
  </w:num>
  <w:num w:numId="42">
    <w:abstractNumId w:val="19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51"/>
    <w:rsid w:val="00000117"/>
    <w:rsid w:val="00007F33"/>
    <w:rsid w:val="0001314C"/>
    <w:rsid w:val="000241B2"/>
    <w:rsid w:val="00037F36"/>
    <w:rsid w:val="00037FA4"/>
    <w:rsid w:val="000416E7"/>
    <w:rsid w:val="00046A51"/>
    <w:rsid w:val="00046A81"/>
    <w:rsid w:val="000517C8"/>
    <w:rsid w:val="00060F74"/>
    <w:rsid w:val="00076143"/>
    <w:rsid w:val="00076DBA"/>
    <w:rsid w:val="0008349C"/>
    <w:rsid w:val="00095338"/>
    <w:rsid w:val="000A046E"/>
    <w:rsid w:val="000B1545"/>
    <w:rsid w:val="000B3E3D"/>
    <w:rsid w:val="000B446E"/>
    <w:rsid w:val="000C2E46"/>
    <w:rsid w:val="000C7E73"/>
    <w:rsid w:val="000D39AE"/>
    <w:rsid w:val="000E6502"/>
    <w:rsid w:val="001005BA"/>
    <w:rsid w:val="0011158D"/>
    <w:rsid w:val="001115B4"/>
    <w:rsid w:val="0012456A"/>
    <w:rsid w:val="00134D20"/>
    <w:rsid w:val="001510E6"/>
    <w:rsid w:val="00153074"/>
    <w:rsid w:val="00154579"/>
    <w:rsid w:val="00157B25"/>
    <w:rsid w:val="001604DA"/>
    <w:rsid w:val="00161E8F"/>
    <w:rsid w:val="00162487"/>
    <w:rsid w:val="00164C8C"/>
    <w:rsid w:val="00165506"/>
    <w:rsid w:val="0017105C"/>
    <w:rsid w:val="001821B4"/>
    <w:rsid w:val="0019645A"/>
    <w:rsid w:val="001A3B84"/>
    <w:rsid w:val="001A3F2C"/>
    <w:rsid w:val="001B088E"/>
    <w:rsid w:val="001B6D11"/>
    <w:rsid w:val="001B7D63"/>
    <w:rsid w:val="001D3355"/>
    <w:rsid w:val="001E028A"/>
    <w:rsid w:val="001F035D"/>
    <w:rsid w:val="001F6CB3"/>
    <w:rsid w:val="00201824"/>
    <w:rsid w:val="00206BB6"/>
    <w:rsid w:val="00212FF1"/>
    <w:rsid w:val="00215760"/>
    <w:rsid w:val="002217B0"/>
    <w:rsid w:val="0022307A"/>
    <w:rsid w:val="0023134A"/>
    <w:rsid w:val="0023298C"/>
    <w:rsid w:val="0024719E"/>
    <w:rsid w:val="002473A0"/>
    <w:rsid w:val="002616A7"/>
    <w:rsid w:val="00266F39"/>
    <w:rsid w:val="00274EF7"/>
    <w:rsid w:val="00280AAD"/>
    <w:rsid w:val="00297157"/>
    <w:rsid w:val="002A5F0F"/>
    <w:rsid w:val="002A63C3"/>
    <w:rsid w:val="002C3357"/>
    <w:rsid w:val="002C46C9"/>
    <w:rsid w:val="002C5B3A"/>
    <w:rsid w:val="002D3618"/>
    <w:rsid w:val="002E30AE"/>
    <w:rsid w:val="002E4851"/>
    <w:rsid w:val="002E5906"/>
    <w:rsid w:val="002F4D81"/>
    <w:rsid w:val="002F69CE"/>
    <w:rsid w:val="003017B8"/>
    <w:rsid w:val="00321234"/>
    <w:rsid w:val="00330E58"/>
    <w:rsid w:val="00352244"/>
    <w:rsid w:val="0036580B"/>
    <w:rsid w:val="003911B0"/>
    <w:rsid w:val="003B3CE1"/>
    <w:rsid w:val="003B7D5F"/>
    <w:rsid w:val="003D4CD8"/>
    <w:rsid w:val="003D5D97"/>
    <w:rsid w:val="003D6BC2"/>
    <w:rsid w:val="003D6F7A"/>
    <w:rsid w:val="003D73FA"/>
    <w:rsid w:val="003E6DD9"/>
    <w:rsid w:val="003F77F1"/>
    <w:rsid w:val="00402A1A"/>
    <w:rsid w:val="00405543"/>
    <w:rsid w:val="004069BD"/>
    <w:rsid w:val="004072E3"/>
    <w:rsid w:val="004174B0"/>
    <w:rsid w:val="004355F4"/>
    <w:rsid w:val="004371A5"/>
    <w:rsid w:val="0044008F"/>
    <w:rsid w:val="004543AD"/>
    <w:rsid w:val="00470E03"/>
    <w:rsid w:val="00473C3A"/>
    <w:rsid w:val="0048186E"/>
    <w:rsid w:val="0048283A"/>
    <w:rsid w:val="00486ECB"/>
    <w:rsid w:val="00492CD0"/>
    <w:rsid w:val="00495C24"/>
    <w:rsid w:val="0049752A"/>
    <w:rsid w:val="004A3D0F"/>
    <w:rsid w:val="004A5C23"/>
    <w:rsid w:val="004A7389"/>
    <w:rsid w:val="004B2738"/>
    <w:rsid w:val="004B675E"/>
    <w:rsid w:val="004C511A"/>
    <w:rsid w:val="004D1A76"/>
    <w:rsid w:val="004D2F96"/>
    <w:rsid w:val="004D6EF8"/>
    <w:rsid w:val="004E5001"/>
    <w:rsid w:val="005070C6"/>
    <w:rsid w:val="00514593"/>
    <w:rsid w:val="00524143"/>
    <w:rsid w:val="005327AC"/>
    <w:rsid w:val="0053503A"/>
    <w:rsid w:val="00557C2F"/>
    <w:rsid w:val="00573219"/>
    <w:rsid w:val="0057480C"/>
    <w:rsid w:val="005A01EC"/>
    <w:rsid w:val="005A1C8F"/>
    <w:rsid w:val="005B4651"/>
    <w:rsid w:val="005B5C7F"/>
    <w:rsid w:val="005C4140"/>
    <w:rsid w:val="005C65C7"/>
    <w:rsid w:val="005D1224"/>
    <w:rsid w:val="005D127C"/>
    <w:rsid w:val="005D1BB2"/>
    <w:rsid w:val="005D3D20"/>
    <w:rsid w:val="005E3486"/>
    <w:rsid w:val="005E628B"/>
    <w:rsid w:val="005F0DE2"/>
    <w:rsid w:val="005F2822"/>
    <w:rsid w:val="00604223"/>
    <w:rsid w:val="00614A6B"/>
    <w:rsid w:val="00620E85"/>
    <w:rsid w:val="00621409"/>
    <w:rsid w:val="00626EA6"/>
    <w:rsid w:val="006369F4"/>
    <w:rsid w:val="00641071"/>
    <w:rsid w:val="00651A2E"/>
    <w:rsid w:val="00652C0C"/>
    <w:rsid w:val="006676E8"/>
    <w:rsid w:val="0069217C"/>
    <w:rsid w:val="00695171"/>
    <w:rsid w:val="0069769E"/>
    <w:rsid w:val="006B753E"/>
    <w:rsid w:val="006C699B"/>
    <w:rsid w:val="006C7854"/>
    <w:rsid w:val="006D1CB7"/>
    <w:rsid w:val="006D3494"/>
    <w:rsid w:val="006E0275"/>
    <w:rsid w:val="006E05C7"/>
    <w:rsid w:val="006E7B9F"/>
    <w:rsid w:val="006F6DB9"/>
    <w:rsid w:val="00707821"/>
    <w:rsid w:val="00711B7D"/>
    <w:rsid w:val="0072534F"/>
    <w:rsid w:val="00725542"/>
    <w:rsid w:val="0074121C"/>
    <w:rsid w:val="00771547"/>
    <w:rsid w:val="00773142"/>
    <w:rsid w:val="00791FA3"/>
    <w:rsid w:val="00793399"/>
    <w:rsid w:val="007B1BAC"/>
    <w:rsid w:val="007C405A"/>
    <w:rsid w:val="007C5089"/>
    <w:rsid w:val="007D1C0E"/>
    <w:rsid w:val="008018ED"/>
    <w:rsid w:val="00803B33"/>
    <w:rsid w:val="008140EE"/>
    <w:rsid w:val="0081649A"/>
    <w:rsid w:val="00820B73"/>
    <w:rsid w:val="008233FB"/>
    <w:rsid w:val="00823B4D"/>
    <w:rsid w:val="008252D4"/>
    <w:rsid w:val="008350C0"/>
    <w:rsid w:val="00835C9E"/>
    <w:rsid w:val="0083672F"/>
    <w:rsid w:val="00844D93"/>
    <w:rsid w:val="008537D6"/>
    <w:rsid w:val="00854121"/>
    <w:rsid w:val="00854898"/>
    <w:rsid w:val="00862843"/>
    <w:rsid w:val="008728B8"/>
    <w:rsid w:val="0087640C"/>
    <w:rsid w:val="00876A67"/>
    <w:rsid w:val="00884324"/>
    <w:rsid w:val="00890AED"/>
    <w:rsid w:val="008968B2"/>
    <w:rsid w:val="008B1642"/>
    <w:rsid w:val="008B7E5B"/>
    <w:rsid w:val="008C274B"/>
    <w:rsid w:val="008C4C3D"/>
    <w:rsid w:val="008C7EB4"/>
    <w:rsid w:val="008D1CAB"/>
    <w:rsid w:val="008D2D13"/>
    <w:rsid w:val="008D759E"/>
    <w:rsid w:val="008E1D00"/>
    <w:rsid w:val="008E20F2"/>
    <w:rsid w:val="008E46F1"/>
    <w:rsid w:val="008F1A39"/>
    <w:rsid w:val="008F27F9"/>
    <w:rsid w:val="008F2F8B"/>
    <w:rsid w:val="008F3DCA"/>
    <w:rsid w:val="008F4AD9"/>
    <w:rsid w:val="00906F5E"/>
    <w:rsid w:val="009208F8"/>
    <w:rsid w:val="00923077"/>
    <w:rsid w:val="0093070A"/>
    <w:rsid w:val="00933F6F"/>
    <w:rsid w:val="009940BE"/>
    <w:rsid w:val="00997F5C"/>
    <w:rsid w:val="009C2AA2"/>
    <w:rsid w:val="009D2949"/>
    <w:rsid w:val="009E4FA1"/>
    <w:rsid w:val="009F3D0E"/>
    <w:rsid w:val="00A20489"/>
    <w:rsid w:val="00A31973"/>
    <w:rsid w:val="00A53917"/>
    <w:rsid w:val="00A54295"/>
    <w:rsid w:val="00A85275"/>
    <w:rsid w:val="00AA0A2D"/>
    <w:rsid w:val="00AA1824"/>
    <w:rsid w:val="00AA19E4"/>
    <w:rsid w:val="00AA46DB"/>
    <w:rsid w:val="00AB4C00"/>
    <w:rsid w:val="00AB5855"/>
    <w:rsid w:val="00AC35E3"/>
    <w:rsid w:val="00AC3A2C"/>
    <w:rsid w:val="00AC56C6"/>
    <w:rsid w:val="00AC5CAD"/>
    <w:rsid w:val="00AD444C"/>
    <w:rsid w:val="00AD7EB8"/>
    <w:rsid w:val="00AE17E0"/>
    <w:rsid w:val="00AE3D62"/>
    <w:rsid w:val="00AF09B9"/>
    <w:rsid w:val="00AF3E6C"/>
    <w:rsid w:val="00AF54AC"/>
    <w:rsid w:val="00AF5D0A"/>
    <w:rsid w:val="00B04AA8"/>
    <w:rsid w:val="00B170D3"/>
    <w:rsid w:val="00B251B4"/>
    <w:rsid w:val="00B327CA"/>
    <w:rsid w:val="00B32840"/>
    <w:rsid w:val="00B46655"/>
    <w:rsid w:val="00B52B09"/>
    <w:rsid w:val="00B62552"/>
    <w:rsid w:val="00B670C6"/>
    <w:rsid w:val="00B71443"/>
    <w:rsid w:val="00B763C9"/>
    <w:rsid w:val="00B766FD"/>
    <w:rsid w:val="00B76A8B"/>
    <w:rsid w:val="00BA362B"/>
    <w:rsid w:val="00BA52E2"/>
    <w:rsid w:val="00BC48C0"/>
    <w:rsid w:val="00BD02D7"/>
    <w:rsid w:val="00BD0DA1"/>
    <w:rsid w:val="00BE1256"/>
    <w:rsid w:val="00BE3F68"/>
    <w:rsid w:val="00C045A3"/>
    <w:rsid w:val="00C053AF"/>
    <w:rsid w:val="00C07E0D"/>
    <w:rsid w:val="00C10518"/>
    <w:rsid w:val="00C1055A"/>
    <w:rsid w:val="00C114DE"/>
    <w:rsid w:val="00C138C4"/>
    <w:rsid w:val="00C255A0"/>
    <w:rsid w:val="00C30929"/>
    <w:rsid w:val="00C30B3E"/>
    <w:rsid w:val="00C33A8E"/>
    <w:rsid w:val="00C36D6E"/>
    <w:rsid w:val="00C40B9A"/>
    <w:rsid w:val="00C45A2C"/>
    <w:rsid w:val="00C566B0"/>
    <w:rsid w:val="00C761ED"/>
    <w:rsid w:val="00C771FF"/>
    <w:rsid w:val="00C80383"/>
    <w:rsid w:val="00C936E2"/>
    <w:rsid w:val="00CB0FF3"/>
    <w:rsid w:val="00CB11B8"/>
    <w:rsid w:val="00CC3FE9"/>
    <w:rsid w:val="00CD6BEA"/>
    <w:rsid w:val="00CE4E2D"/>
    <w:rsid w:val="00CE6F37"/>
    <w:rsid w:val="00CF05A4"/>
    <w:rsid w:val="00CF286A"/>
    <w:rsid w:val="00D05FDF"/>
    <w:rsid w:val="00D2244D"/>
    <w:rsid w:val="00D3150D"/>
    <w:rsid w:val="00D36394"/>
    <w:rsid w:val="00D508E6"/>
    <w:rsid w:val="00D56CD6"/>
    <w:rsid w:val="00D60850"/>
    <w:rsid w:val="00D67C0F"/>
    <w:rsid w:val="00D716CA"/>
    <w:rsid w:val="00D71EDD"/>
    <w:rsid w:val="00D86189"/>
    <w:rsid w:val="00DA4B4C"/>
    <w:rsid w:val="00DB489A"/>
    <w:rsid w:val="00DB6EEE"/>
    <w:rsid w:val="00DB7A59"/>
    <w:rsid w:val="00DC1D80"/>
    <w:rsid w:val="00DE5B9A"/>
    <w:rsid w:val="00E02972"/>
    <w:rsid w:val="00E34E2B"/>
    <w:rsid w:val="00E45EC3"/>
    <w:rsid w:val="00E5249E"/>
    <w:rsid w:val="00E733A7"/>
    <w:rsid w:val="00E76C6C"/>
    <w:rsid w:val="00E81222"/>
    <w:rsid w:val="00E86C95"/>
    <w:rsid w:val="00E905B1"/>
    <w:rsid w:val="00E95AC1"/>
    <w:rsid w:val="00E97ABE"/>
    <w:rsid w:val="00EA4B92"/>
    <w:rsid w:val="00EB138F"/>
    <w:rsid w:val="00EB45B2"/>
    <w:rsid w:val="00EC06D2"/>
    <w:rsid w:val="00EE02B5"/>
    <w:rsid w:val="00EE06D3"/>
    <w:rsid w:val="00EE4770"/>
    <w:rsid w:val="00EF0F27"/>
    <w:rsid w:val="00EF488A"/>
    <w:rsid w:val="00EF547D"/>
    <w:rsid w:val="00EF5B24"/>
    <w:rsid w:val="00EF7A9D"/>
    <w:rsid w:val="00EF7B48"/>
    <w:rsid w:val="00F37818"/>
    <w:rsid w:val="00F41BA5"/>
    <w:rsid w:val="00F62A64"/>
    <w:rsid w:val="00F71A59"/>
    <w:rsid w:val="00F80729"/>
    <w:rsid w:val="00F83EFF"/>
    <w:rsid w:val="00F91A93"/>
    <w:rsid w:val="00F92FDC"/>
    <w:rsid w:val="00FC106D"/>
    <w:rsid w:val="00FC21CE"/>
    <w:rsid w:val="00FC4D90"/>
    <w:rsid w:val="00FD3399"/>
    <w:rsid w:val="00FD443F"/>
    <w:rsid w:val="00FD7544"/>
    <w:rsid w:val="00FE4A6C"/>
    <w:rsid w:val="00FE666E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DCE4DE-C2E2-4D3C-AD9F-9C2579EDB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next w:val="Corptext"/>
    <w:link w:val="Titlu2Caracter"/>
    <w:qFormat/>
    <w:rsid w:val="0048186E"/>
    <w:pPr>
      <w:keepNext/>
      <w:keepLines/>
      <w:numPr>
        <w:ilvl w:val="1"/>
        <w:numId w:val="25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21234"/>
  </w:style>
  <w:style w:type="paragraph" w:styleId="Subsol">
    <w:name w:val="footer"/>
    <w:basedOn w:val="Normal"/>
    <w:link w:val="Subsol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21234"/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itlu1Caracter">
    <w:name w:val="Titlu 1 Caracter"/>
    <w:basedOn w:val="Fontdeparagrafimplicit"/>
    <w:link w:val="Titlu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Corptext">
    <w:name w:val="Body Text"/>
    <w:basedOn w:val="Normal"/>
    <w:link w:val="CorptextCaracter"/>
    <w:uiPriority w:val="99"/>
    <w:unhideWhenUsed/>
    <w:rsid w:val="00B52B09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rsid w:val="00B52B09"/>
  </w:style>
  <w:style w:type="character" w:styleId="Referincomentariu">
    <w:name w:val="annotation reference"/>
    <w:basedOn w:val="Fontdeparagrafimplicit"/>
    <w:uiPriority w:val="99"/>
    <w:semiHidden/>
    <w:unhideWhenUsed/>
    <w:rsid w:val="00AE17E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E17E0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E17E0"/>
    <w:rPr>
      <w:sz w:val="20"/>
      <w:szCs w:val="20"/>
    </w:rPr>
  </w:style>
  <w:style w:type="character" w:customStyle="1" w:styleId="Titlu2Caracter">
    <w:name w:val="Titlu 2 Caracter"/>
    <w:basedOn w:val="Fontdeparagrafimplicit"/>
    <w:link w:val="Titlu2"/>
    <w:rsid w:val="0048186E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customStyle="1" w:styleId="Listparagraf1">
    <w:name w:val="Listă paragraf1"/>
    <w:basedOn w:val="Normal"/>
    <w:uiPriority w:val="34"/>
    <w:qFormat/>
    <w:rsid w:val="004D2F96"/>
    <w:pPr>
      <w:ind w:left="720"/>
      <w:contextualSpacing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4244B-B0F5-4EBA-9131-C341B0925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 Acatrinei</dc:creator>
  <cp:lastModifiedBy>daniela.badea</cp:lastModifiedBy>
  <cp:revision>54</cp:revision>
  <dcterms:created xsi:type="dcterms:W3CDTF">2016-04-20T06:50:00Z</dcterms:created>
  <dcterms:modified xsi:type="dcterms:W3CDTF">2017-09-01T06:53:00Z</dcterms:modified>
</cp:coreProperties>
</file>